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15" w:rsidRPr="003832E7" w:rsidRDefault="00B76415" w:rsidP="00B76415">
      <w:pPr>
        <w:pStyle w:val="Default"/>
        <w:jc w:val="right"/>
        <w:rPr>
          <w:rFonts w:ascii="Arial" w:hAnsi="Arial" w:cs="Arial"/>
          <w:sz w:val="22"/>
          <w:szCs w:val="22"/>
        </w:rPr>
      </w:pPr>
      <w:r>
        <w:rPr>
          <w:rFonts w:ascii="Arial" w:hAnsi="Arial" w:cs="Arial"/>
          <w:bCs/>
          <w:sz w:val="22"/>
          <w:szCs w:val="22"/>
        </w:rPr>
        <w:t>Bluewater Power Distribution Corporation</w:t>
      </w:r>
    </w:p>
    <w:p w:rsidR="00B76415" w:rsidRDefault="00B76415" w:rsidP="00B76415">
      <w:pPr>
        <w:pStyle w:val="Default"/>
        <w:jc w:val="right"/>
        <w:rPr>
          <w:rFonts w:ascii="Arial" w:hAnsi="Arial" w:cs="Arial"/>
          <w:sz w:val="22"/>
          <w:szCs w:val="22"/>
        </w:rPr>
      </w:pPr>
      <w:r w:rsidRPr="00B76415">
        <w:rPr>
          <w:rFonts w:ascii="Arial" w:hAnsi="Arial" w:cs="Arial"/>
          <w:sz w:val="22"/>
          <w:szCs w:val="22"/>
        </w:rPr>
        <w:t>EB-2016-0057</w:t>
      </w:r>
    </w:p>
    <w:p w:rsidR="00B76415" w:rsidRDefault="00B76415" w:rsidP="00B76415">
      <w:pPr>
        <w:pStyle w:val="Default"/>
        <w:rPr>
          <w:rFonts w:ascii="Arial" w:hAnsi="Arial" w:cs="Arial"/>
          <w:sz w:val="22"/>
          <w:szCs w:val="22"/>
        </w:rPr>
      </w:pPr>
    </w:p>
    <w:p w:rsidR="00350093" w:rsidRDefault="00350093" w:rsidP="00B76415">
      <w:pPr>
        <w:pStyle w:val="Default"/>
        <w:rPr>
          <w:rFonts w:ascii="Arial" w:hAnsi="Arial" w:cs="Arial"/>
          <w:sz w:val="22"/>
          <w:szCs w:val="22"/>
        </w:rPr>
      </w:pPr>
      <w:bookmarkStart w:id="0" w:name="_GoBack"/>
      <w:bookmarkEnd w:id="0"/>
    </w:p>
    <w:p w:rsidR="00B76415" w:rsidRPr="00A07077" w:rsidRDefault="00B76415" w:rsidP="00B76415">
      <w:pPr>
        <w:pStyle w:val="Default"/>
        <w:jc w:val="center"/>
        <w:rPr>
          <w:rFonts w:ascii="Arial" w:hAnsi="Arial" w:cs="Arial"/>
          <w:sz w:val="28"/>
          <w:szCs w:val="28"/>
        </w:rPr>
      </w:pPr>
      <w:r>
        <w:rPr>
          <w:rFonts w:ascii="Arial" w:hAnsi="Arial" w:cs="Arial"/>
          <w:b/>
          <w:bCs/>
          <w:sz w:val="28"/>
          <w:szCs w:val="28"/>
        </w:rPr>
        <w:t>Bluewater Power Distribution Corporation</w:t>
      </w:r>
    </w:p>
    <w:p w:rsidR="00B76415" w:rsidRDefault="00B76415" w:rsidP="00B76415">
      <w:pPr>
        <w:pStyle w:val="Default"/>
        <w:jc w:val="center"/>
        <w:rPr>
          <w:rFonts w:ascii="Arial" w:hAnsi="Arial" w:cs="Arial"/>
          <w:b/>
          <w:bCs/>
          <w:sz w:val="28"/>
          <w:szCs w:val="28"/>
        </w:rPr>
      </w:pPr>
      <w:r>
        <w:rPr>
          <w:rFonts w:ascii="Arial" w:hAnsi="Arial" w:cs="Arial"/>
          <w:b/>
          <w:bCs/>
          <w:sz w:val="28"/>
          <w:szCs w:val="28"/>
        </w:rPr>
        <w:t>EB-2016-0057</w:t>
      </w:r>
    </w:p>
    <w:p w:rsidR="00B76415" w:rsidRDefault="00350093" w:rsidP="000E20F1">
      <w:pPr>
        <w:pStyle w:val="Default"/>
        <w:jc w:val="center"/>
        <w:rPr>
          <w:rFonts w:ascii="Arial" w:hAnsi="Arial" w:cs="Arial"/>
          <w:b/>
          <w:bCs/>
          <w:sz w:val="28"/>
          <w:szCs w:val="28"/>
        </w:rPr>
      </w:pPr>
      <w:r>
        <w:rPr>
          <w:rFonts w:ascii="Arial" w:hAnsi="Arial" w:cs="Arial"/>
          <w:b/>
          <w:bCs/>
          <w:sz w:val="28"/>
          <w:szCs w:val="28"/>
        </w:rPr>
        <w:t xml:space="preserve">Bluewater Power Responses to </w:t>
      </w:r>
      <w:r w:rsidR="000E20F1">
        <w:rPr>
          <w:rFonts w:ascii="Arial" w:hAnsi="Arial" w:cs="Arial"/>
          <w:b/>
          <w:bCs/>
          <w:sz w:val="28"/>
          <w:szCs w:val="28"/>
        </w:rPr>
        <w:t>OEB Staff Questions</w:t>
      </w:r>
    </w:p>
    <w:p w:rsidR="00B76415" w:rsidRDefault="00B76415" w:rsidP="00B76415">
      <w:pPr>
        <w:autoSpaceDE w:val="0"/>
        <w:autoSpaceDN w:val="0"/>
        <w:adjustRightInd w:val="0"/>
        <w:spacing w:after="0" w:line="240" w:lineRule="auto"/>
        <w:rPr>
          <w:rFonts w:ascii="Arial" w:hAnsi="Arial" w:cs="Arial"/>
          <w:b/>
          <w:bCs/>
          <w:color w:val="000000"/>
          <w:sz w:val="24"/>
          <w:szCs w:val="24"/>
        </w:rPr>
      </w:pPr>
    </w:p>
    <w:p w:rsidR="00B76415" w:rsidRDefault="00044373" w:rsidP="00B76415">
      <w:pPr>
        <w:rPr>
          <w:rFonts w:ascii="Arial" w:hAnsi="Arial" w:cs="Arial"/>
          <w:b/>
          <w:sz w:val="24"/>
          <w:szCs w:val="24"/>
        </w:rPr>
      </w:pPr>
      <w:r>
        <w:rPr>
          <w:rFonts w:ascii="Arial" w:hAnsi="Arial" w:cs="Arial"/>
          <w:b/>
          <w:sz w:val="24"/>
          <w:szCs w:val="24"/>
        </w:rPr>
        <w:t xml:space="preserve">Staff Question </w:t>
      </w:r>
      <w:r w:rsidR="00B76415" w:rsidRPr="002D056D">
        <w:rPr>
          <w:rFonts w:ascii="Arial" w:hAnsi="Arial" w:cs="Arial"/>
          <w:b/>
          <w:sz w:val="24"/>
          <w:szCs w:val="24"/>
        </w:rPr>
        <w:t>-</w:t>
      </w:r>
      <w:r>
        <w:rPr>
          <w:rFonts w:ascii="Arial" w:hAnsi="Arial" w:cs="Arial"/>
          <w:b/>
          <w:sz w:val="24"/>
          <w:szCs w:val="24"/>
        </w:rPr>
        <w:t xml:space="preserve"> </w:t>
      </w:r>
      <w:r w:rsidR="00B76415" w:rsidRPr="002D056D">
        <w:rPr>
          <w:rFonts w:ascii="Arial" w:hAnsi="Arial" w:cs="Arial"/>
          <w:b/>
          <w:sz w:val="24"/>
          <w:szCs w:val="24"/>
        </w:rPr>
        <w:t>1</w:t>
      </w:r>
    </w:p>
    <w:p w:rsidR="00AD2BD5" w:rsidRPr="002D056D" w:rsidRDefault="00AD2BD5" w:rsidP="00B76415">
      <w:pPr>
        <w:rPr>
          <w:rFonts w:ascii="Arial" w:hAnsi="Arial" w:cs="Arial"/>
          <w:b/>
          <w:sz w:val="24"/>
          <w:szCs w:val="24"/>
        </w:rPr>
      </w:pPr>
      <w:r>
        <w:rPr>
          <w:rFonts w:ascii="Arial" w:hAnsi="Arial" w:cs="Arial"/>
          <w:b/>
          <w:sz w:val="24"/>
          <w:szCs w:val="24"/>
        </w:rPr>
        <w:t xml:space="preserve">Reference: Chapter 3, Managers Summary </w:t>
      </w:r>
      <w:proofErr w:type="spellStart"/>
      <w:r>
        <w:rPr>
          <w:rFonts w:ascii="Arial" w:hAnsi="Arial" w:cs="Arial"/>
          <w:b/>
          <w:sz w:val="24"/>
          <w:szCs w:val="24"/>
        </w:rPr>
        <w:t>Pg</w:t>
      </w:r>
      <w:proofErr w:type="spellEnd"/>
      <w:r>
        <w:rPr>
          <w:rFonts w:ascii="Arial" w:hAnsi="Arial" w:cs="Arial"/>
          <w:b/>
          <w:sz w:val="24"/>
          <w:szCs w:val="24"/>
        </w:rPr>
        <w:t xml:space="preserve"> 7 and Rate Generator Model Tab 16</w:t>
      </w:r>
    </w:p>
    <w:p w:rsidR="00746080" w:rsidRDefault="00AD2BD5">
      <w:pPr>
        <w:rPr>
          <w:rFonts w:ascii="Arial" w:hAnsi="Arial" w:cs="Arial"/>
          <w:sz w:val="24"/>
          <w:szCs w:val="24"/>
        </w:rPr>
      </w:pPr>
      <w:r>
        <w:rPr>
          <w:rFonts w:ascii="Arial" w:hAnsi="Arial" w:cs="Arial"/>
          <w:sz w:val="24"/>
          <w:szCs w:val="24"/>
        </w:rPr>
        <w:t>Chapter 3 states “</w:t>
      </w:r>
      <w:r w:rsidR="00B26916" w:rsidRPr="00E504CF">
        <w:rPr>
          <w:rFonts w:ascii="Arial" w:hAnsi="Arial" w:cs="Arial"/>
          <w:i/>
          <w:sz w:val="24"/>
          <w:szCs w:val="24"/>
        </w:rPr>
        <w:t>In 2017, a distributor is expected to apply to extend its OEB-approved transition period if necessary, to continue to comply with the policy. For 2017, the monthly service charge would have to rise more than $4 per year in order to affect the length of the transition to fixed rates. It is expected that in most cases, only an additional transition year would be required to make the changes within the $4 impact threshold identified in the policy. A distributor shall propose an alternative or additional strategy in the event that an additional transition year is insufficient. Consistent with OEB policy regarding mitigation, a distributor may propose as part of its application that no extension is necessary; such a position must be substantiated with reasons</w:t>
      </w:r>
      <w:r w:rsidR="00B26916" w:rsidRPr="00AD2BD5">
        <w:rPr>
          <w:rFonts w:ascii="Arial" w:hAnsi="Arial" w:cs="Arial"/>
          <w:sz w:val="24"/>
          <w:szCs w:val="24"/>
        </w:rPr>
        <w:t>.</w:t>
      </w:r>
      <w:r>
        <w:rPr>
          <w:rFonts w:ascii="Arial" w:hAnsi="Arial" w:cs="Arial"/>
          <w:sz w:val="24"/>
          <w:szCs w:val="24"/>
        </w:rPr>
        <w:t>”</w:t>
      </w:r>
    </w:p>
    <w:p w:rsidR="00AD2BD5" w:rsidRDefault="00AD2BD5">
      <w:pPr>
        <w:rPr>
          <w:rFonts w:ascii="Arial" w:hAnsi="Arial" w:cs="Arial"/>
          <w:sz w:val="24"/>
          <w:szCs w:val="24"/>
        </w:rPr>
      </w:pPr>
      <w:r>
        <w:rPr>
          <w:rFonts w:ascii="Arial" w:hAnsi="Arial" w:cs="Arial"/>
          <w:sz w:val="24"/>
          <w:szCs w:val="24"/>
        </w:rPr>
        <w:t>The $4</w:t>
      </w:r>
      <w:r w:rsidR="000E20F1">
        <w:rPr>
          <w:rFonts w:ascii="Arial" w:hAnsi="Arial" w:cs="Arial"/>
          <w:sz w:val="24"/>
          <w:szCs w:val="24"/>
        </w:rPr>
        <w:t>.00</w:t>
      </w:r>
      <w:r>
        <w:rPr>
          <w:rFonts w:ascii="Arial" w:hAnsi="Arial" w:cs="Arial"/>
          <w:sz w:val="24"/>
          <w:szCs w:val="24"/>
        </w:rPr>
        <w:t xml:space="preserve"> threshold was intended to be applied before the</w:t>
      </w:r>
      <w:r w:rsidR="000E20F1">
        <w:rPr>
          <w:rFonts w:ascii="Arial" w:hAnsi="Arial" w:cs="Arial"/>
          <w:sz w:val="24"/>
          <w:szCs w:val="24"/>
        </w:rPr>
        <w:t xml:space="preserve"> price cap</w:t>
      </w:r>
      <w:r>
        <w:rPr>
          <w:rFonts w:ascii="Arial" w:hAnsi="Arial" w:cs="Arial"/>
          <w:sz w:val="24"/>
          <w:szCs w:val="24"/>
        </w:rPr>
        <w:t xml:space="preserve"> adjustment. </w:t>
      </w:r>
    </w:p>
    <w:p w:rsidR="00AD2BD5" w:rsidRDefault="00CF675A" w:rsidP="00AD2BD5">
      <w:pPr>
        <w:autoSpaceDE w:val="0"/>
        <w:autoSpaceDN w:val="0"/>
        <w:adjustRightInd w:val="0"/>
        <w:rPr>
          <w:rFonts w:ascii="Arial" w:hAnsi="Arial" w:cs="Arial"/>
          <w:sz w:val="24"/>
          <w:szCs w:val="24"/>
        </w:rPr>
      </w:pPr>
      <w:r>
        <w:rPr>
          <w:rFonts w:ascii="Arial" w:hAnsi="Arial" w:cs="Arial"/>
          <w:sz w:val="24"/>
          <w:szCs w:val="24"/>
        </w:rPr>
        <w:t>Bluewater Power stated in it</w:t>
      </w:r>
      <w:r w:rsidR="00AD2BD5">
        <w:rPr>
          <w:rFonts w:ascii="Arial" w:hAnsi="Arial" w:cs="Arial"/>
          <w:sz w:val="24"/>
          <w:szCs w:val="24"/>
        </w:rPr>
        <w:t xml:space="preserve">s </w:t>
      </w:r>
      <w:r w:rsidR="00044373">
        <w:rPr>
          <w:rFonts w:ascii="Arial" w:hAnsi="Arial" w:cs="Arial"/>
          <w:sz w:val="24"/>
          <w:szCs w:val="24"/>
        </w:rPr>
        <w:t>manager’s</w:t>
      </w:r>
      <w:r w:rsidR="00AD2BD5">
        <w:rPr>
          <w:rFonts w:ascii="Arial" w:hAnsi="Arial" w:cs="Arial"/>
          <w:sz w:val="24"/>
          <w:szCs w:val="24"/>
        </w:rPr>
        <w:t xml:space="preserve"> summary “</w:t>
      </w:r>
      <w:r w:rsidR="00AD2BD5" w:rsidRPr="00AD2BD5">
        <w:rPr>
          <w:rFonts w:ascii="Arial" w:hAnsi="Arial" w:cs="Arial"/>
          <w:sz w:val="24"/>
          <w:szCs w:val="24"/>
        </w:rPr>
        <w:t xml:space="preserve">Bluewater is proposing the 2nd of 4 annual increases to the fixed charge. The rate model produces an increase to the base fixed charge of $3.69 and a decrease to the variable charge of $.0055/kWh in the 2017 rate year. Although the change to the base fixed rate is below the $4.00 threshold per month, when layering on the annual price cap rate adjustment the resulting total increase is $ 4.11 to </w:t>
      </w:r>
      <w:r w:rsidR="00044373" w:rsidRPr="00AD2BD5">
        <w:rPr>
          <w:rFonts w:ascii="Arial" w:hAnsi="Arial" w:cs="Arial"/>
          <w:sz w:val="24"/>
          <w:szCs w:val="24"/>
        </w:rPr>
        <w:t>the fixed</w:t>
      </w:r>
      <w:r w:rsidR="00AD2BD5" w:rsidRPr="00AD2BD5">
        <w:rPr>
          <w:rFonts w:ascii="Arial" w:hAnsi="Arial" w:cs="Arial"/>
          <w:sz w:val="24"/>
          <w:szCs w:val="24"/>
        </w:rPr>
        <w:t xml:space="preserve"> charge and a decrease of $.0053/kWh to the variable charge. Bluewater proposes that even though the total increase is $4.11 in the fixed charge, the overall bill impact for customers including all changes to rates, results in a rate decrease given the disposition of the deferral and variance account credit balances which has the effect of mitigating the</w:t>
      </w:r>
      <w:r w:rsidR="000E20F1">
        <w:rPr>
          <w:rFonts w:ascii="Arial" w:hAnsi="Arial" w:cs="Arial"/>
          <w:sz w:val="24"/>
          <w:szCs w:val="24"/>
        </w:rPr>
        <w:t xml:space="preserve"> increase in the fixed charge. W</w:t>
      </w:r>
      <w:r w:rsidR="00AD2BD5" w:rsidRPr="00AD2BD5">
        <w:rPr>
          <w:rFonts w:ascii="Arial" w:hAnsi="Arial" w:cs="Arial"/>
          <w:sz w:val="24"/>
          <w:szCs w:val="24"/>
        </w:rPr>
        <w:t xml:space="preserve">e </w:t>
      </w:r>
      <w:r w:rsidR="00044373" w:rsidRPr="00AD2BD5">
        <w:rPr>
          <w:rFonts w:ascii="Arial" w:hAnsi="Arial" w:cs="Arial"/>
          <w:sz w:val="24"/>
          <w:szCs w:val="24"/>
        </w:rPr>
        <w:t>therefore submit</w:t>
      </w:r>
      <w:r w:rsidR="00AD2BD5" w:rsidRPr="00AD2BD5">
        <w:rPr>
          <w:rFonts w:ascii="Arial" w:hAnsi="Arial" w:cs="Arial"/>
          <w:sz w:val="24"/>
          <w:szCs w:val="24"/>
        </w:rPr>
        <w:t xml:space="preserve"> the increase to the fixed charge of $4.11 is reasonable.</w:t>
      </w:r>
    </w:p>
    <w:p w:rsidR="000E20F1" w:rsidRPr="00AD2BD5" w:rsidRDefault="000E20F1" w:rsidP="00AD2BD5">
      <w:pPr>
        <w:autoSpaceDE w:val="0"/>
        <w:autoSpaceDN w:val="0"/>
        <w:adjustRightInd w:val="0"/>
        <w:rPr>
          <w:rFonts w:ascii="Arial" w:hAnsi="Arial" w:cs="Arial"/>
          <w:sz w:val="24"/>
          <w:szCs w:val="24"/>
        </w:rPr>
      </w:pPr>
      <w:r>
        <w:rPr>
          <w:rFonts w:ascii="Arial" w:hAnsi="Arial" w:cs="Arial"/>
          <w:sz w:val="24"/>
          <w:szCs w:val="24"/>
        </w:rPr>
        <w:t xml:space="preserve">Please confirm that Bluewater Power did not in fact exceed the $4.00 when applied prior to the price cap adjustment.  </w:t>
      </w:r>
    </w:p>
    <w:p w:rsidR="000E20F1" w:rsidRPr="00CE11BB" w:rsidRDefault="00CD3506" w:rsidP="000E20F1">
      <w:pPr>
        <w:rPr>
          <w:rFonts w:ascii="Arial" w:hAnsi="Arial" w:cs="Arial"/>
          <w:color w:val="FF0000"/>
          <w:sz w:val="24"/>
          <w:szCs w:val="24"/>
        </w:rPr>
      </w:pPr>
      <w:r w:rsidRPr="00CE11BB">
        <w:rPr>
          <w:rFonts w:ascii="Arial" w:hAnsi="Arial" w:cs="Arial"/>
          <w:color w:val="FF0000"/>
          <w:sz w:val="24"/>
          <w:szCs w:val="24"/>
        </w:rPr>
        <w:t>Bluewater Response:  Confirmed</w:t>
      </w:r>
    </w:p>
    <w:p w:rsidR="000E20F1" w:rsidRDefault="000E20F1" w:rsidP="000E20F1">
      <w:pPr>
        <w:rPr>
          <w:rFonts w:ascii="Arial" w:hAnsi="Arial" w:cs="Arial"/>
          <w:b/>
          <w:sz w:val="24"/>
          <w:szCs w:val="24"/>
        </w:rPr>
      </w:pPr>
    </w:p>
    <w:p w:rsidR="000E20F1" w:rsidRDefault="000E20F1" w:rsidP="000E20F1">
      <w:pPr>
        <w:rPr>
          <w:rFonts w:ascii="Arial" w:hAnsi="Arial" w:cs="Arial"/>
          <w:b/>
          <w:sz w:val="24"/>
          <w:szCs w:val="24"/>
        </w:rPr>
      </w:pPr>
    </w:p>
    <w:p w:rsidR="000E20F1" w:rsidRDefault="00044373" w:rsidP="000E20F1">
      <w:pPr>
        <w:rPr>
          <w:rFonts w:ascii="Arial" w:hAnsi="Arial" w:cs="Arial"/>
          <w:b/>
          <w:sz w:val="24"/>
          <w:szCs w:val="24"/>
        </w:rPr>
      </w:pPr>
      <w:r>
        <w:rPr>
          <w:rFonts w:ascii="Arial" w:hAnsi="Arial" w:cs="Arial"/>
          <w:b/>
          <w:sz w:val="24"/>
          <w:szCs w:val="24"/>
        </w:rPr>
        <w:lastRenderedPageBreak/>
        <w:t xml:space="preserve">Staff Question </w:t>
      </w:r>
      <w:r w:rsidR="000E20F1">
        <w:rPr>
          <w:rFonts w:ascii="Arial" w:hAnsi="Arial" w:cs="Arial"/>
          <w:b/>
          <w:sz w:val="24"/>
          <w:szCs w:val="24"/>
        </w:rPr>
        <w:t>-</w:t>
      </w:r>
      <w:r>
        <w:rPr>
          <w:rFonts w:ascii="Arial" w:hAnsi="Arial" w:cs="Arial"/>
          <w:b/>
          <w:sz w:val="24"/>
          <w:szCs w:val="24"/>
        </w:rPr>
        <w:t xml:space="preserve"> </w:t>
      </w:r>
      <w:r w:rsidR="000E20F1">
        <w:rPr>
          <w:rFonts w:ascii="Arial" w:hAnsi="Arial" w:cs="Arial"/>
          <w:b/>
          <w:sz w:val="24"/>
          <w:szCs w:val="24"/>
        </w:rPr>
        <w:t>2</w:t>
      </w:r>
    </w:p>
    <w:p w:rsidR="000E20F1" w:rsidRDefault="000E20F1" w:rsidP="000E20F1">
      <w:pPr>
        <w:rPr>
          <w:rFonts w:ascii="Arial" w:hAnsi="Arial" w:cs="Arial"/>
          <w:b/>
          <w:sz w:val="24"/>
          <w:szCs w:val="24"/>
        </w:rPr>
      </w:pPr>
      <w:r>
        <w:rPr>
          <w:rFonts w:ascii="Arial" w:hAnsi="Arial" w:cs="Arial"/>
          <w:b/>
          <w:sz w:val="24"/>
          <w:szCs w:val="24"/>
        </w:rPr>
        <w:t xml:space="preserve">Reference: Managers Summary </w:t>
      </w:r>
      <w:proofErr w:type="spellStart"/>
      <w:r>
        <w:rPr>
          <w:rFonts w:ascii="Arial" w:hAnsi="Arial" w:cs="Arial"/>
          <w:b/>
          <w:sz w:val="24"/>
          <w:szCs w:val="24"/>
        </w:rPr>
        <w:t>Pg</w:t>
      </w:r>
      <w:proofErr w:type="spellEnd"/>
      <w:r>
        <w:rPr>
          <w:rFonts w:ascii="Arial" w:hAnsi="Arial" w:cs="Arial"/>
          <w:b/>
          <w:sz w:val="24"/>
          <w:szCs w:val="24"/>
        </w:rPr>
        <w:t xml:space="preserve"> 12 and Rate Generator Model Tab 3</w:t>
      </w:r>
    </w:p>
    <w:p w:rsidR="000E20F1" w:rsidRDefault="000E20F1" w:rsidP="000E20F1">
      <w:pPr>
        <w:rPr>
          <w:rFonts w:ascii="Arial" w:hAnsi="Arial" w:cs="Arial"/>
          <w:sz w:val="24"/>
          <w:szCs w:val="24"/>
        </w:rPr>
      </w:pPr>
      <w:r>
        <w:rPr>
          <w:rFonts w:ascii="Arial" w:hAnsi="Arial" w:cs="Arial"/>
          <w:sz w:val="24"/>
          <w:szCs w:val="24"/>
        </w:rPr>
        <w:t>Please confirm the adjust</w:t>
      </w:r>
      <w:r w:rsidR="00CF675A">
        <w:rPr>
          <w:rFonts w:ascii="Arial" w:hAnsi="Arial" w:cs="Arial"/>
          <w:sz w:val="24"/>
          <w:szCs w:val="24"/>
        </w:rPr>
        <w:t>ment</w:t>
      </w:r>
      <w:r>
        <w:rPr>
          <w:rFonts w:ascii="Arial" w:hAnsi="Arial" w:cs="Arial"/>
          <w:sz w:val="24"/>
          <w:szCs w:val="24"/>
        </w:rPr>
        <w:t xml:space="preserve"> to account 1589 in the credit amount of $2,325,819 is not a retroactive adjustment to balances previously disposed of by the OEB.</w:t>
      </w:r>
    </w:p>
    <w:p w:rsidR="00CD3506" w:rsidRPr="00CE11BB" w:rsidRDefault="00CD3506" w:rsidP="000E20F1">
      <w:pPr>
        <w:rPr>
          <w:rFonts w:ascii="Arial" w:hAnsi="Arial" w:cs="Arial"/>
          <w:color w:val="FF0000"/>
          <w:sz w:val="24"/>
          <w:szCs w:val="24"/>
        </w:rPr>
      </w:pPr>
      <w:r w:rsidRPr="00CE11BB">
        <w:rPr>
          <w:rFonts w:ascii="Arial" w:hAnsi="Arial" w:cs="Arial"/>
          <w:color w:val="FF0000"/>
          <w:sz w:val="24"/>
          <w:szCs w:val="24"/>
        </w:rPr>
        <w:t>Bluewater Response:  Confirmed</w:t>
      </w:r>
    </w:p>
    <w:p w:rsidR="00CF675A" w:rsidRDefault="00044373" w:rsidP="00CF675A">
      <w:pPr>
        <w:rPr>
          <w:rFonts w:ascii="Arial" w:hAnsi="Arial" w:cs="Arial"/>
          <w:b/>
          <w:sz w:val="24"/>
          <w:szCs w:val="24"/>
        </w:rPr>
      </w:pPr>
      <w:r>
        <w:rPr>
          <w:rFonts w:ascii="Arial" w:hAnsi="Arial" w:cs="Arial"/>
          <w:b/>
          <w:sz w:val="24"/>
          <w:szCs w:val="24"/>
        </w:rPr>
        <w:t xml:space="preserve">Staff Question </w:t>
      </w:r>
      <w:r w:rsidR="00CF675A">
        <w:rPr>
          <w:rFonts w:ascii="Arial" w:hAnsi="Arial" w:cs="Arial"/>
          <w:b/>
          <w:sz w:val="24"/>
          <w:szCs w:val="24"/>
        </w:rPr>
        <w:t>-</w:t>
      </w:r>
      <w:r>
        <w:rPr>
          <w:rFonts w:ascii="Arial" w:hAnsi="Arial" w:cs="Arial"/>
          <w:b/>
          <w:sz w:val="24"/>
          <w:szCs w:val="24"/>
        </w:rPr>
        <w:t xml:space="preserve"> </w:t>
      </w:r>
      <w:r w:rsidR="00CF675A">
        <w:rPr>
          <w:rFonts w:ascii="Arial" w:hAnsi="Arial" w:cs="Arial"/>
          <w:b/>
          <w:sz w:val="24"/>
          <w:szCs w:val="24"/>
        </w:rPr>
        <w:t>3</w:t>
      </w:r>
    </w:p>
    <w:p w:rsidR="00CF675A" w:rsidRDefault="00CF675A" w:rsidP="00CF675A">
      <w:pPr>
        <w:rPr>
          <w:rFonts w:ascii="Arial" w:hAnsi="Arial" w:cs="Arial"/>
          <w:b/>
          <w:sz w:val="24"/>
          <w:szCs w:val="24"/>
        </w:rPr>
      </w:pPr>
      <w:r>
        <w:rPr>
          <w:rFonts w:ascii="Arial" w:hAnsi="Arial" w:cs="Arial"/>
          <w:b/>
          <w:sz w:val="24"/>
          <w:szCs w:val="24"/>
        </w:rPr>
        <w:t xml:space="preserve">Reference: Rate Generator Model Tab 6.a GA </w:t>
      </w:r>
      <w:proofErr w:type="spellStart"/>
      <w:r>
        <w:rPr>
          <w:rFonts w:ascii="Arial" w:hAnsi="Arial" w:cs="Arial"/>
          <w:b/>
          <w:sz w:val="24"/>
          <w:szCs w:val="24"/>
        </w:rPr>
        <w:t>Allocation_Class</w:t>
      </w:r>
      <w:proofErr w:type="spellEnd"/>
      <w:r>
        <w:rPr>
          <w:rFonts w:ascii="Arial" w:hAnsi="Arial" w:cs="Arial"/>
          <w:b/>
          <w:sz w:val="24"/>
          <w:szCs w:val="24"/>
        </w:rPr>
        <w:t xml:space="preserve"> A </w:t>
      </w:r>
    </w:p>
    <w:p w:rsidR="00CF675A" w:rsidRDefault="00CF675A" w:rsidP="00CF675A">
      <w:pPr>
        <w:rPr>
          <w:rFonts w:ascii="Arial" w:hAnsi="Arial" w:cs="Arial"/>
          <w:b/>
          <w:sz w:val="24"/>
          <w:szCs w:val="24"/>
        </w:rPr>
      </w:pPr>
      <w:r w:rsidRPr="00CF675A">
        <w:rPr>
          <w:noProof/>
          <w:lang w:eastAsia="en-CA"/>
        </w:rPr>
        <w:drawing>
          <wp:inline distT="0" distB="0" distL="0" distR="0" wp14:anchorId="06DC3FD6" wp14:editId="4A899D47">
            <wp:extent cx="5943600" cy="993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93329"/>
                    </a:xfrm>
                    <a:prstGeom prst="rect">
                      <a:avLst/>
                    </a:prstGeom>
                    <a:noFill/>
                    <a:ln>
                      <a:noFill/>
                    </a:ln>
                  </pic:spPr>
                </pic:pic>
              </a:graphicData>
            </a:graphic>
          </wp:inline>
        </w:drawing>
      </w:r>
    </w:p>
    <w:p w:rsidR="00131F34" w:rsidRDefault="00131F34" w:rsidP="00CF675A">
      <w:pPr>
        <w:rPr>
          <w:rFonts w:ascii="Arial" w:hAnsi="Arial" w:cs="Arial"/>
          <w:b/>
          <w:sz w:val="24"/>
          <w:szCs w:val="24"/>
        </w:rPr>
      </w:pPr>
      <w:r w:rsidRPr="00131F34">
        <w:rPr>
          <w:noProof/>
          <w:lang w:eastAsia="en-CA"/>
        </w:rPr>
        <w:drawing>
          <wp:inline distT="0" distB="0" distL="0" distR="0">
            <wp:extent cx="2194560" cy="2994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2994660"/>
                    </a:xfrm>
                    <a:prstGeom prst="rect">
                      <a:avLst/>
                    </a:prstGeom>
                    <a:noFill/>
                    <a:ln>
                      <a:noFill/>
                    </a:ln>
                  </pic:spPr>
                </pic:pic>
              </a:graphicData>
            </a:graphic>
          </wp:inline>
        </w:drawing>
      </w:r>
    </w:p>
    <w:p w:rsidR="00AD2BD5" w:rsidRDefault="00CF675A" w:rsidP="00AD2BD5">
      <w:pPr>
        <w:rPr>
          <w:rFonts w:ascii="Arial" w:hAnsi="Arial" w:cs="Arial"/>
          <w:sz w:val="24"/>
          <w:szCs w:val="24"/>
        </w:rPr>
      </w:pPr>
      <w:r>
        <w:rPr>
          <w:rFonts w:ascii="Arial" w:hAnsi="Arial" w:cs="Arial"/>
          <w:sz w:val="24"/>
          <w:szCs w:val="24"/>
        </w:rPr>
        <w:t>The kWh’</w:t>
      </w:r>
      <w:r w:rsidR="00131F34">
        <w:rPr>
          <w:rFonts w:ascii="Arial" w:hAnsi="Arial" w:cs="Arial"/>
          <w:sz w:val="24"/>
          <w:szCs w:val="24"/>
        </w:rPr>
        <w:t>s for class B of</w:t>
      </w:r>
      <w:r>
        <w:rPr>
          <w:rFonts w:ascii="Arial" w:hAnsi="Arial" w:cs="Arial"/>
          <w:sz w:val="24"/>
          <w:szCs w:val="24"/>
        </w:rPr>
        <w:t xml:space="preserve"> 303,011,933 should also </w:t>
      </w:r>
      <w:r w:rsidR="00131F34">
        <w:rPr>
          <w:rFonts w:ascii="Arial" w:hAnsi="Arial" w:cs="Arial"/>
          <w:sz w:val="24"/>
          <w:szCs w:val="24"/>
        </w:rPr>
        <w:t xml:space="preserve">include the 26,957,690 total metered consumption for new Class A customers in the period prior to becoming class A, as these kWh’s were consumed by class b customers. Please confirm the amount of kWh’s entered on cell D20 Tab 6.a should be 329,969,623, OEB staff will update the model.   </w:t>
      </w:r>
    </w:p>
    <w:p w:rsidR="00044373" w:rsidRPr="00CE11BB" w:rsidRDefault="00CE11BB" w:rsidP="00044373">
      <w:pPr>
        <w:pStyle w:val="NoSpacing"/>
        <w:rPr>
          <w:rFonts w:ascii="Arial" w:hAnsi="Arial" w:cs="Arial"/>
          <w:color w:val="FF0000"/>
        </w:rPr>
      </w:pPr>
      <w:r w:rsidRPr="00CE11BB">
        <w:rPr>
          <w:rFonts w:ascii="Arial" w:hAnsi="Arial" w:cs="Arial"/>
          <w:color w:val="FF0000"/>
        </w:rPr>
        <w:t>Bluewater Response: Confirmed, please update model.</w:t>
      </w:r>
    </w:p>
    <w:p w:rsidR="00044373" w:rsidRDefault="00044373" w:rsidP="00044373">
      <w:pPr>
        <w:pStyle w:val="NoSpacing"/>
        <w:rPr>
          <w:rFonts w:ascii="Arial" w:hAnsi="Arial" w:cs="Arial"/>
          <w:u w:val="single"/>
        </w:rPr>
      </w:pPr>
    </w:p>
    <w:p w:rsidR="00044373" w:rsidRDefault="00044373" w:rsidP="00044373">
      <w:pPr>
        <w:pStyle w:val="NoSpacing"/>
        <w:rPr>
          <w:rFonts w:ascii="Arial" w:hAnsi="Arial" w:cs="Arial"/>
          <w:u w:val="single"/>
        </w:rPr>
      </w:pPr>
    </w:p>
    <w:p w:rsidR="00044373" w:rsidRDefault="00044373" w:rsidP="00044373">
      <w:pPr>
        <w:pStyle w:val="NoSpacing"/>
        <w:rPr>
          <w:rFonts w:ascii="Arial" w:hAnsi="Arial" w:cs="Arial"/>
          <w:u w:val="single"/>
        </w:rPr>
      </w:pPr>
    </w:p>
    <w:p w:rsidR="00044373" w:rsidRDefault="00044373" w:rsidP="00044373">
      <w:pPr>
        <w:pStyle w:val="NoSpacing"/>
        <w:rPr>
          <w:rFonts w:ascii="Arial" w:hAnsi="Arial" w:cs="Arial"/>
          <w:u w:val="single"/>
        </w:rPr>
      </w:pPr>
    </w:p>
    <w:p w:rsidR="00044373" w:rsidRPr="00510807" w:rsidRDefault="00044373" w:rsidP="00044373">
      <w:pPr>
        <w:pStyle w:val="NoSpacing"/>
        <w:rPr>
          <w:rFonts w:ascii="Arial" w:hAnsi="Arial" w:cs="Arial"/>
          <w:u w:val="single"/>
        </w:rPr>
      </w:pPr>
    </w:p>
    <w:p w:rsidR="00044373" w:rsidRPr="00044373" w:rsidRDefault="00044373" w:rsidP="00044373">
      <w:pPr>
        <w:pStyle w:val="NoSpacing"/>
        <w:rPr>
          <w:rFonts w:ascii="Arial" w:hAnsi="Arial" w:cs="Arial"/>
          <w:b/>
        </w:rPr>
      </w:pPr>
      <w:r w:rsidRPr="00044373">
        <w:rPr>
          <w:rFonts w:ascii="Arial" w:hAnsi="Arial" w:cs="Arial"/>
          <w:b/>
        </w:rPr>
        <w:t>Staff Question - 4</w:t>
      </w:r>
    </w:p>
    <w:p w:rsidR="00044373" w:rsidRPr="00044373" w:rsidRDefault="00044373" w:rsidP="00044373">
      <w:pPr>
        <w:pStyle w:val="NoSpacing"/>
        <w:rPr>
          <w:rFonts w:ascii="Arial" w:hAnsi="Arial" w:cs="Arial"/>
          <w:b/>
        </w:rPr>
      </w:pPr>
    </w:p>
    <w:p w:rsidR="00044373" w:rsidRPr="00044373" w:rsidRDefault="00044373" w:rsidP="00044373">
      <w:pPr>
        <w:pStyle w:val="NoSpacing"/>
        <w:rPr>
          <w:rFonts w:ascii="Arial" w:hAnsi="Arial" w:cs="Arial"/>
          <w:b/>
        </w:rPr>
      </w:pPr>
      <w:r w:rsidRPr="00044373">
        <w:rPr>
          <w:rFonts w:ascii="Arial" w:hAnsi="Arial" w:cs="Arial"/>
          <w:b/>
        </w:rPr>
        <w:t xml:space="preserve">Ref: </w:t>
      </w:r>
      <w:r w:rsidRPr="00044373">
        <w:rPr>
          <w:rFonts w:ascii="Arial" w:hAnsi="Arial" w:cs="Arial"/>
          <w:b/>
        </w:rPr>
        <w:tab/>
        <w:t>Tab “4.  2011-14 LRAM” of LRAMVA Work Form</w:t>
      </w:r>
    </w:p>
    <w:p w:rsidR="00044373" w:rsidRPr="00044373" w:rsidRDefault="00044373" w:rsidP="00044373">
      <w:pPr>
        <w:pStyle w:val="NoSpacing"/>
        <w:ind w:firstLine="720"/>
        <w:rPr>
          <w:rFonts w:ascii="Arial" w:hAnsi="Arial" w:cs="Arial"/>
          <w:b/>
        </w:rPr>
      </w:pPr>
      <w:r w:rsidRPr="00044373">
        <w:rPr>
          <w:rFonts w:ascii="Arial" w:hAnsi="Arial" w:cs="Arial"/>
          <w:b/>
        </w:rPr>
        <w:t xml:space="preserve">Tab “5.  2015 LRAM” of LRAMVA Work Form </w:t>
      </w:r>
    </w:p>
    <w:p w:rsidR="00044373" w:rsidRPr="00044373" w:rsidRDefault="00044373" w:rsidP="00044373">
      <w:pPr>
        <w:pStyle w:val="NoSpacing"/>
        <w:rPr>
          <w:rFonts w:ascii="Arial" w:hAnsi="Arial" w:cs="Arial"/>
          <w:b/>
        </w:rPr>
      </w:pPr>
      <w:r w:rsidRPr="00510807">
        <w:rPr>
          <w:rFonts w:ascii="Arial" w:hAnsi="Arial" w:cs="Arial"/>
        </w:rPr>
        <w:tab/>
      </w:r>
      <w:r w:rsidRPr="00044373">
        <w:rPr>
          <w:rFonts w:ascii="Arial" w:hAnsi="Arial" w:cs="Arial"/>
          <w:b/>
        </w:rPr>
        <w:t>EB-2012-0107, Settlement Agreement, p. 23 of 48</w:t>
      </w:r>
    </w:p>
    <w:p w:rsidR="00044373" w:rsidRPr="00510807" w:rsidRDefault="00044373" w:rsidP="00044373">
      <w:pPr>
        <w:pStyle w:val="NoSpacing"/>
        <w:rPr>
          <w:rFonts w:ascii="Arial" w:hAnsi="Arial" w:cs="Arial"/>
        </w:rPr>
      </w:pPr>
    </w:p>
    <w:p w:rsidR="00044373" w:rsidRPr="00510807" w:rsidRDefault="00044373" w:rsidP="00044373">
      <w:pPr>
        <w:pStyle w:val="NoSpacing"/>
        <w:rPr>
          <w:rFonts w:ascii="Arial" w:hAnsi="Arial" w:cs="Arial"/>
        </w:rPr>
      </w:pPr>
      <w:r w:rsidRPr="00510807">
        <w:rPr>
          <w:rFonts w:ascii="Arial" w:hAnsi="Arial" w:cs="Arial"/>
        </w:rPr>
        <w:t xml:space="preserve">OEB Staff noticed that the Elenchus has included the persistence of 2011 savings into 2013, 2014 and 2015 when it appears in the 2013 Cost of Service Settlement Agreement that the 2013 approved CDM savings used for LRAMVA amounts embedded actual 2011 savings into the 2013 load forecast.  </w:t>
      </w:r>
    </w:p>
    <w:p w:rsidR="00044373" w:rsidRPr="00510807" w:rsidRDefault="00044373" w:rsidP="00044373">
      <w:pPr>
        <w:pStyle w:val="NoSpacing"/>
        <w:rPr>
          <w:rFonts w:ascii="Arial" w:hAnsi="Arial" w:cs="Arial"/>
        </w:rPr>
      </w:pPr>
    </w:p>
    <w:p w:rsidR="00044373" w:rsidRDefault="00044373" w:rsidP="00044373">
      <w:pPr>
        <w:pStyle w:val="NoSpacing"/>
        <w:numPr>
          <w:ilvl w:val="0"/>
          <w:numId w:val="1"/>
        </w:numPr>
        <w:rPr>
          <w:rFonts w:ascii="Arial" w:hAnsi="Arial" w:cs="Arial"/>
        </w:rPr>
      </w:pPr>
      <w:r w:rsidRPr="00510807">
        <w:rPr>
          <w:rFonts w:ascii="Arial" w:hAnsi="Arial" w:cs="Arial"/>
        </w:rPr>
        <w:t xml:space="preserve">Please </w:t>
      </w:r>
      <w:r>
        <w:rPr>
          <w:rFonts w:ascii="Arial" w:hAnsi="Arial" w:cs="Arial"/>
        </w:rPr>
        <w:t>discuss</w:t>
      </w:r>
      <w:r w:rsidRPr="00510807">
        <w:rPr>
          <w:rFonts w:ascii="Arial" w:hAnsi="Arial" w:cs="Arial"/>
        </w:rPr>
        <w:t xml:space="preserve"> the appropriateness of claiming the 2011 persistence of savings into </w:t>
      </w:r>
      <w:r>
        <w:rPr>
          <w:rFonts w:ascii="Arial" w:hAnsi="Arial" w:cs="Arial"/>
        </w:rPr>
        <w:t xml:space="preserve">the </w:t>
      </w:r>
      <w:r w:rsidRPr="00510807">
        <w:rPr>
          <w:rFonts w:ascii="Arial" w:hAnsi="Arial" w:cs="Arial"/>
        </w:rPr>
        <w:t>2013, 2014 and 2015</w:t>
      </w:r>
      <w:r>
        <w:rPr>
          <w:rFonts w:ascii="Arial" w:hAnsi="Arial" w:cs="Arial"/>
        </w:rPr>
        <w:t xml:space="preserve"> program years</w:t>
      </w:r>
      <w:r w:rsidRPr="00510807">
        <w:rPr>
          <w:rFonts w:ascii="Arial" w:hAnsi="Arial" w:cs="Arial"/>
        </w:rPr>
        <w:t>.</w:t>
      </w:r>
    </w:p>
    <w:p w:rsidR="00CE11BB" w:rsidRDefault="00CE11BB" w:rsidP="00CE11BB">
      <w:pPr>
        <w:pStyle w:val="NoSpacing"/>
        <w:rPr>
          <w:rFonts w:ascii="Arial" w:hAnsi="Arial" w:cs="Arial"/>
        </w:rPr>
      </w:pPr>
    </w:p>
    <w:p w:rsidR="00FD13C9" w:rsidRDefault="00CE11BB" w:rsidP="00CE11BB">
      <w:pPr>
        <w:rPr>
          <w:color w:val="FF0000"/>
        </w:rPr>
      </w:pPr>
      <w:r w:rsidRPr="000128A2">
        <w:rPr>
          <w:color w:val="FF0000"/>
        </w:rPr>
        <w:t xml:space="preserve">Bluewater Response:  </w:t>
      </w:r>
      <w:r w:rsidR="00FD13C9">
        <w:rPr>
          <w:color w:val="FF0000"/>
        </w:rPr>
        <w:t>In submitting an LRAMVA, t</w:t>
      </w:r>
      <w:r w:rsidR="000128A2" w:rsidRPr="000128A2">
        <w:rPr>
          <w:color w:val="FF0000"/>
        </w:rPr>
        <w:t xml:space="preserve">here are two components </w:t>
      </w:r>
      <w:r w:rsidR="00FD13C9">
        <w:rPr>
          <w:color w:val="FF0000"/>
        </w:rPr>
        <w:t>to be measured – what were the energy savings forecast and what were the actual results. Since it is a variance, it is critical that each measure contains the same assumptions. In this case, we have included the 2011 persistence in both.</w:t>
      </w:r>
      <w:r w:rsidR="000128A2" w:rsidRPr="000128A2">
        <w:rPr>
          <w:color w:val="FF0000"/>
        </w:rPr>
        <w:t xml:space="preserve">  </w:t>
      </w:r>
    </w:p>
    <w:p w:rsidR="00594962" w:rsidRDefault="00FD13C9" w:rsidP="00CE11BB">
      <w:pPr>
        <w:rPr>
          <w:color w:val="FF0000"/>
        </w:rPr>
      </w:pPr>
      <w:r>
        <w:rPr>
          <w:color w:val="FF0000"/>
        </w:rPr>
        <w:t>To elaborate, t</w:t>
      </w:r>
      <w:r w:rsidR="000128A2" w:rsidRPr="000128A2">
        <w:rPr>
          <w:color w:val="FF0000"/>
        </w:rPr>
        <w:t>he first</w:t>
      </w:r>
      <w:r>
        <w:rPr>
          <w:color w:val="FF0000"/>
        </w:rPr>
        <w:t xml:space="preserve"> component</w:t>
      </w:r>
      <w:r w:rsidR="000128A2" w:rsidRPr="000128A2">
        <w:rPr>
          <w:color w:val="FF0000"/>
        </w:rPr>
        <w:t xml:space="preserve"> relates to the 2013 load forecast that is used for rate making purposes.  </w:t>
      </w:r>
      <w:r w:rsidR="00CE11BB" w:rsidRPr="00CE11BB">
        <w:rPr>
          <w:color w:val="FF0000"/>
        </w:rPr>
        <w:t xml:space="preserve">The 2013 Load Forecast includes expected savings up to, and including 2013.  So </w:t>
      </w:r>
      <w:r w:rsidR="00C75F85">
        <w:rPr>
          <w:color w:val="FF0000"/>
        </w:rPr>
        <w:t xml:space="preserve">it is </w:t>
      </w:r>
      <w:r w:rsidR="00CE11BB" w:rsidRPr="00CE11BB">
        <w:rPr>
          <w:color w:val="FF0000"/>
        </w:rPr>
        <w:t xml:space="preserve">correct that the 2011 actual CDM </w:t>
      </w:r>
      <w:r>
        <w:rPr>
          <w:color w:val="FF0000"/>
        </w:rPr>
        <w:t>results are</w:t>
      </w:r>
      <w:r w:rsidR="00CE11BB" w:rsidRPr="00CE11BB">
        <w:rPr>
          <w:color w:val="FF0000"/>
        </w:rPr>
        <w:t xml:space="preserve"> embedded in the Load Forecast.  Simply</w:t>
      </w:r>
      <w:r w:rsidR="00CE11BB">
        <w:rPr>
          <w:color w:val="FF0000"/>
        </w:rPr>
        <w:t xml:space="preserve"> put</w:t>
      </w:r>
      <w:r w:rsidR="00CE11BB" w:rsidRPr="00CE11BB">
        <w:rPr>
          <w:color w:val="FF0000"/>
        </w:rPr>
        <w:t>, the 2013 forecast attempted to project 2013 consumption as accurately as possible at the time</w:t>
      </w:r>
      <w:r w:rsidR="0076591E">
        <w:rPr>
          <w:color w:val="FF0000"/>
        </w:rPr>
        <w:t>,</w:t>
      </w:r>
      <w:r w:rsidR="00CE11BB">
        <w:rPr>
          <w:color w:val="FF0000"/>
        </w:rPr>
        <w:t xml:space="preserve"> which was calculated </w:t>
      </w:r>
      <w:r w:rsidR="00594962">
        <w:rPr>
          <w:color w:val="FF0000"/>
        </w:rPr>
        <w:t>including</w:t>
      </w:r>
      <w:r w:rsidR="00CE11BB">
        <w:rPr>
          <w:color w:val="FF0000"/>
        </w:rPr>
        <w:t xml:space="preserve"> 2011 actual persistence</w:t>
      </w:r>
      <w:r w:rsidR="00594962">
        <w:rPr>
          <w:color w:val="FF0000"/>
        </w:rPr>
        <w:t xml:space="preserve"> and 2012 forecasted persistence.  </w:t>
      </w:r>
    </w:p>
    <w:p w:rsidR="00CE11BB" w:rsidRPr="00CE11BB" w:rsidRDefault="007C7A75" w:rsidP="00CE11BB">
      <w:pPr>
        <w:rPr>
          <w:color w:val="FF0000"/>
        </w:rPr>
      </w:pPr>
      <w:r>
        <w:rPr>
          <w:color w:val="FF0000"/>
        </w:rPr>
        <w:t xml:space="preserve">The second component </w:t>
      </w:r>
      <w:r w:rsidR="00FD13C9">
        <w:rPr>
          <w:color w:val="FF0000"/>
        </w:rPr>
        <w:t xml:space="preserve">seeks to compare actual results </w:t>
      </w:r>
      <w:r w:rsidR="00BD7C36">
        <w:rPr>
          <w:color w:val="FF0000"/>
        </w:rPr>
        <w:t>with what</w:t>
      </w:r>
      <w:r>
        <w:rPr>
          <w:color w:val="FF0000"/>
        </w:rPr>
        <w:t xml:space="preserve"> was agreed to in settlement for the LRAMVA kWh and kW values.  </w:t>
      </w:r>
      <w:r w:rsidRPr="007C7A75">
        <w:rPr>
          <w:color w:val="FF0000"/>
        </w:rPr>
        <w:t xml:space="preserve">Any CDM achieved above the </w:t>
      </w:r>
      <w:r>
        <w:rPr>
          <w:color w:val="FF0000"/>
        </w:rPr>
        <w:t xml:space="preserve">LRAMVA </w:t>
      </w:r>
      <w:r w:rsidRPr="007C7A75">
        <w:rPr>
          <w:color w:val="FF0000"/>
        </w:rPr>
        <w:t xml:space="preserve">target entitles Bluewater to lost revenue recovery, while CDM </w:t>
      </w:r>
      <w:r w:rsidR="00594962">
        <w:rPr>
          <w:color w:val="FF0000"/>
        </w:rPr>
        <w:t xml:space="preserve">results </w:t>
      </w:r>
      <w:r w:rsidRPr="007C7A75">
        <w:rPr>
          <w:color w:val="FF0000"/>
        </w:rPr>
        <w:t>below the target would</w:t>
      </w:r>
      <w:r w:rsidR="00E504CF">
        <w:rPr>
          <w:color w:val="FF0000"/>
        </w:rPr>
        <w:t xml:space="preserve"> entitle the rate payers to </w:t>
      </w:r>
      <w:r w:rsidRPr="007C7A75">
        <w:rPr>
          <w:color w:val="FF0000"/>
        </w:rPr>
        <w:t xml:space="preserve">relief.  Since the 2011 CDM savings were included in the 2013 LRAMVA target, Bluewater needs to offset the target savings </w:t>
      </w:r>
      <w:r w:rsidR="000128A2">
        <w:rPr>
          <w:color w:val="FF0000"/>
        </w:rPr>
        <w:t xml:space="preserve">(whether actual or forecast savings) </w:t>
      </w:r>
      <w:r w:rsidRPr="007C7A75">
        <w:rPr>
          <w:color w:val="FF0000"/>
        </w:rPr>
        <w:t>with persisting savings from 2011 into each of the years 2013-2015.</w:t>
      </w:r>
      <w:r w:rsidR="000128A2">
        <w:rPr>
          <w:color w:val="FF0000"/>
        </w:rPr>
        <w:t xml:space="preserve"> </w:t>
      </w:r>
      <w:r w:rsidR="0076591E">
        <w:rPr>
          <w:color w:val="FF0000"/>
        </w:rPr>
        <w:t xml:space="preserve">So the true-up should contain the same components each year.  </w:t>
      </w:r>
      <w:r w:rsidR="00431139">
        <w:rPr>
          <w:color w:val="FF0000"/>
        </w:rPr>
        <w:t xml:space="preserve">  </w:t>
      </w:r>
      <w:r w:rsidR="00C75F85">
        <w:rPr>
          <w:color w:val="FF0000"/>
        </w:rPr>
        <w:t xml:space="preserve">By not including 2011 actual results in the LRAMVA claim, we would not have an ‘apples to apples’ comparison of what was in the original target to what is in the actual results in the LRAMVA claim each year.  </w:t>
      </w:r>
      <w:r w:rsidR="00594962">
        <w:rPr>
          <w:color w:val="FF0000"/>
        </w:rPr>
        <w:t xml:space="preserve">Furthermore, because we used the actual persistence from the IESO results in the original target, and used those same results again now in the LRAMVA claim, there will be no variance or ‘true-up’ attributed to 2011.  </w:t>
      </w:r>
    </w:p>
    <w:p w:rsidR="00044373" w:rsidRDefault="00044373" w:rsidP="00044373">
      <w:pPr>
        <w:pStyle w:val="NoSpacing"/>
        <w:rPr>
          <w:rFonts w:ascii="Arial" w:hAnsi="Arial" w:cs="Arial"/>
          <w:color w:val="FF0000"/>
        </w:rPr>
      </w:pPr>
    </w:p>
    <w:p w:rsidR="00032C8A" w:rsidRDefault="00032C8A" w:rsidP="00044373">
      <w:pPr>
        <w:pStyle w:val="NoSpacing"/>
        <w:rPr>
          <w:rFonts w:ascii="Arial" w:hAnsi="Arial" w:cs="Arial"/>
          <w:color w:val="FF0000"/>
        </w:rPr>
      </w:pPr>
    </w:p>
    <w:p w:rsidR="00032C8A" w:rsidRDefault="00032C8A" w:rsidP="00044373">
      <w:pPr>
        <w:pStyle w:val="NoSpacing"/>
        <w:rPr>
          <w:rFonts w:ascii="Arial" w:hAnsi="Arial" w:cs="Arial"/>
          <w:color w:val="FF0000"/>
        </w:rPr>
      </w:pPr>
    </w:p>
    <w:p w:rsidR="00032C8A" w:rsidRDefault="00032C8A" w:rsidP="00044373">
      <w:pPr>
        <w:pStyle w:val="NoSpacing"/>
        <w:rPr>
          <w:rFonts w:ascii="Arial" w:hAnsi="Arial" w:cs="Arial"/>
          <w:color w:val="FF0000"/>
        </w:rPr>
      </w:pPr>
    </w:p>
    <w:p w:rsidR="00032C8A" w:rsidRDefault="00032C8A" w:rsidP="00044373">
      <w:pPr>
        <w:pStyle w:val="NoSpacing"/>
        <w:rPr>
          <w:rFonts w:ascii="Arial" w:hAnsi="Arial" w:cs="Arial"/>
          <w:color w:val="FF0000"/>
        </w:rPr>
      </w:pPr>
    </w:p>
    <w:p w:rsidR="00032C8A" w:rsidRPr="00510807" w:rsidRDefault="00032C8A" w:rsidP="00044373">
      <w:pPr>
        <w:pStyle w:val="NoSpacing"/>
        <w:rPr>
          <w:rFonts w:ascii="Arial" w:hAnsi="Arial" w:cs="Arial"/>
        </w:rPr>
      </w:pPr>
    </w:p>
    <w:p w:rsidR="00044373" w:rsidRDefault="00044373" w:rsidP="00044373">
      <w:pPr>
        <w:pStyle w:val="NoSpacing"/>
        <w:numPr>
          <w:ilvl w:val="0"/>
          <w:numId w:val="1"/>
        </w:numPr>
        <w:rPr>
          <w:rFonts w:ascii="Arial" w:hAnsi="Arial" w:cs="Arial"/>
        </w:rPr>
      </w:pPr>
      <w:r>
        <w:rPr>
          <w:rFonts w:ascii="Arial" w:hAnsi="Arial" w:cs="Arial"/>
        </w:rPr>
        <w:lastRenderedPageBreak/>
        <w:t>P</w:t>
      </w:r>
      <w:r w:rsidRPr="00510807">
        <w:rPr>
          <w:rFonts w:ascii="Arial" w:hAnsi="Arial" w:cs="Arial"/>
        </w:rPr>
        <w:t xml:space="preserve">lease re-file the 2013 to 2015 LRAMVA </w:t>
      </w:r>
      <w:r>
        <w:rPr>
          <w:rFonts w:ascii="Arial" w:hAnsi="Arial" w:cs="Arial"/>
        </w:rPr>
        <w:t xml:space="preserve">claim and </w:t>
      </w:r>
      <w:r w:rsidRPr="00510807">
        <w:rPr>
          <w:rFonts w:ascii="Arial" w:hAnsi="Arial" w:cs="Arial"/>
        </w:rPr>
        <w:t>workform remov</w:t>
      </w:r>
      <w:r>
        <w:rPr>
          <w:rFonts w:ascii="Arial" w:hAnsi="Arial" w:cs="Arial"/>
        </w:rPr>
        <w:t>ing the 2011 persisting savings</w:t>
      </w:r>
      <w:r w:rsidRPr="00510807">
        <w:rPr>
          <w:rFonts w:ascii="Arial" w:hAnsi="Arial" w:cs="Arial"/>
        </w:rPr>
        <w:t>.</w:t>
      </w:r>
    </w:p>
    <w:p w:rsidR="00431139" w:rsidRDefault="00431139" w:rsidP="00431139">
      <w:pPr>
        <w:pStyle w:val="NoSpacing"/>
        <w:rPr>
          <w:rFonts w:ascii="Arial" w:hAnsi="Arial" w:cs="Arial"/>
        </w:rPr>
      </w:pPr>
    </w:p>
    <w:p w:rsidR="00FD13C9" w:rsidRDefault="00431139" w:rsidP="00431139">
      <w:pPr>
        <w:pStyle w:val="NoSpacing"/>
        <w:rPr>
          <w:rFonts w:asciiTheme="minorHAnsi" w:hAnsiTheme="minorHAnsi"/>
          <w:color w:val="FF0000"/>
          <w:sz w:val="22"/>
        </w:rPr>
      </w:pPr>
      <w:r w:rsidRPr="00D836D3">
        <w:rPr>
          <w:rFonts w:asciiTheme="minorHAnsi" w:hAnsiTheme="minorHAnsi"/>
          <w:color w:val="FF0000"/>
          <w:sz w:val="22"/>
        </w:rPr>
        <w:t xml:space="preserve">Bluewater Response:  </w:t>
      </w:r>
      <w:r w:rsidR="00E504CF">
        <w:rPr>
          <w:rFonts w:asciiTheme="minorHAnsi" w:hAnsiTheme="minorHAnsi"/>
          <w:color w:val="FF0000"/>
          <w:sz w:val="22"/>
        </w:rPr>
        <w:t>I</w:t>
      </w:r>
      <w:r w:rsidRPr="00D836D3">
        <w:rPr>
          <w:rFonts w:asciiTheme="minorHAnsi" w:hAnsiTheme="minorHAnsi"/>
          <w:color w:val="FF0000"/>
          <w:sz w:val="22"/>
        </w:rPr>
        <w:t xml:space="preserve">t is </w:t>
      </w:r>
      <w:r w:rsidR="00E504CF">
        <w:rPr>
          <w:rFonts w:asciiTheme="minorHAnsi" w:hAnsiTheme="minorHAnsi"/>
          <w:color w:val="FF0000"/>
          <w:sz w:val="22"/>
        </w:rPr>
        <w:t xml:space="preserve">not </w:t>
      </w:r>
      <w:r w:rsidRPr="00D836D3">
        <w:rPr>
          <w:rFonts w:asciiTheme="minorHAnsi" w:hAnsiTheme="minorHAnsi"/>
          <w:color w:val="FF0000"/>
          <w:sz w:val="22"/>
        </w:rPr>
        <w:t>appropriate to remove the 2011 persisten</w:t>
      </w:r>
      <w:r w:rsidR="00E43DF4" w:rsidRPr="00D836D3">
        <w:rPr>
          <w:rFonts w:asciiTheme="minorHAnsi" w:hAnsiTheme="minorHAnsi"/>
          <w:color w:val="FF0000"/>
          <w:sz w:val="22"/>
        </w:rPr>
        <w:t>ce</w:t>
      </w:r>
      <w:r w:rsidRPr="00D836D3">
        <w:rPr>
          <w:rFonts w:asciiTheme="minorHAnsi" w:hAnsiTheme="minorHAnsi"/>
          <w:color w:val="FF0000"/>
          <w:sz w:val="22"/>
        </w:rPr>
        <w:t xml:space="preserve"> savings from 2013 to 2015 </w:t>
      </w:r>
      <w:r w:rsidR="00E504CF">
        <w:rPr>
          <w:rFonts w:asciiTheme="minorHAnsi" w:hAnsiTheme="minorHAnsi"/>
          <w:color w:val="FF0000"/>
          <w:sz w:val="22"/>
        </w:rPr>
        <w:t xml:space="preserve">for the very reason that </w:t>
      </w:r>
      <w:r w:rsidRPr="00D836D3">
        <w:rPr>
          <w:rFonts w:asciiTheme="minorHAnsi" w:hAnsiTheme="minorHAnsi"/>
          <w:color w:val="FF0000"/>
          <w:sz w:val="22"/>
        </w:rPr>
        <w:t>the target included a component relating to 2011</w:t>
      </w:r>
      <w:r w:rsidR="00E504CF">
        <w:rPr>
          <w:rFonts w:asciiTheme="minorHAnsi" w:hAnsiTheme="minorHAnsi"/>
          <w:color w:val="FF0000"/>
          <w:sz w:val="22"/>
        </w:rPr>
        <w:t xml:space="preserve"> persistence</w:t>
      </w:r>
      <w:r w:rsidRPr="00D836D3">
        <w:rPr>
          <w:rFonts w:asciiTheme="minorHAnsi" w:hAnsiTheme="minorHAnsi"/>
          <w:color w:val="FF0000"/>
          <w:sz w:val="22"/>
        </w:rPr>
        <w:t>.  If we were to remove 2011 from the LRAMVA claim</w:t>
      </w:r>
      <w:r w:rsidR="00E504CF">
        <w:rPr>
          <w:rFonts w:asciiTheme="minorHAnsi" w:hAnsiTheme="minorHAnsi"/>
          <w:color w:val="FF0000"/>
          <w:sz w:val="22"/>
        </w:rPr>
        <w:t>, then</w:t>
      </w:r>
      <w:r w:rsidRPr="00D836D3">
        <w:rPr>
          <w:rFonts w:asciiTheme="minorHAnsi" w:hAnsiTheme="minorHAnsi"/>
          <w:color w:val="FF0000"/>
          <w:sz w:val="22"/>
        </w:rPr>
        <w:t xml:space="preserve"> we would also need to remove it from the original target which was part of the settlement agreement and </w:t>
      </w:r>
      <w:r w:rsidR="00032C8A">
        <w:rPr>
          <w:rFonts w:asciiTheme="minorHAnsi" w:hAnsiTheme="minorHAnsi"/>
          <w:color w:val="FF0000"/>
          <w:sz w:val="22"/>
        </w:rPr>
        <w:t xml:space="preserve">therefore </w:t>
      </w:r>
      <w:r w:rsidRPr="00D836D3">
        <w:rPr>
          <w:rFonts w:asciiTheme="minorHAnsi" w:hAnsiTheme="minorHAnsi"/>
          <w:color w:val="FF0000"/>
          <w:sz w:val="22"/>
        </w:rPr>
        <w:t>cannot</w:t>
      </w:r>
      <w:r w:rsidR="00032C8A">
        <w:rPr>
          <w:rFonts w:asciiTheme="minorHAnsi" w:hAnsiTheme="minorHAnsi"/>
          <w:color w:val="FF0000"/>
          <w:sz w:val="22"/>
        </w:rPr>
        <w:t xml:space="preserve"> be removed</w:t>
      </w:r>
      <w:r w:rsidR="00E504CF">
        <w:rPr>
          <w:rFonts w:asciiTheme="minorHAnsi" w:hAnsiTheme="minorHAnsi"/>
          <w:color w:val="FF0000"/>
          <w:sz w:val="22"/>
        </w:rPr>
        <w:t>.</w:t>
      </w:r>
      <w:r w:rsidRPr="00D836D3">
        <w:rPr>
          <w:rFonts w:asciiTheme="minorHAnsi" w:hAnsiTheme="minorHAnsi"/>
          <w:color w:val="FF0000"/>
          <w:sz w:val="22"/>
        </w:rPr>
        <w:t xml:space="preserve">  </w:t>
      </w:r>
      <w:r w:rsidR="00FD13C9">
        <w:rPr>
          <w:rFonts w:asciiTheme="minorHAnsi" w:hAnsiTheme="minorHAnsi"/>
          <w:color w:val="FF0000"/>
          <w:sz w:val="22"/>
        </w:rPr>
        <w:t>Since the original target cannot</w:t>
      </w:r>
      <w:r w:rsidR="00FD13C9" w:rsidRPr="00D836D3">
        <w:rPr>
          <w:rFonts w:asciiTheme="minorHAnsi" w:hAnsiTheme="minorHAnsi"/>
          <w:color w:val="FF0000"/>
          <w:sz w:val="22"/>
        </w:rPr>
        <w:t xml:space="preserve"> be changed</w:t>
      </w:r>
      <w:r w:rsidR="00FD13C9">
        <w:rPr>
          <w:rFonts w:asciiTheme="minorHAnsi" w:hAnsiTheme="minorHAnsi"/>
          <w:color w:val="FF0000"/>
          <w:sz w:val="22"/>
        </w:rPr>
        <w:t xml:space="preserve">, the only way to ensure a fair recovery is to include the 2011 persistence in the </w:t>
      </w:r>
      <w:r w:rsidR="003E44F1">
        <w:rPr>
          <w:rFonts w:asciiTheme="minorHAnsi" w:hAnsiTheme="minorHAnsi"/>
          <w:color w:val="FF0000"/>
          <w:sz w:val="22"/>
        </w:rPr>
        <w:t xml:space="preserve">LRAMVA </w:t>
      </w:r>
      <w:proofErr w:type="spellStart"/>
      <w:r w:rsidR="00FD13C9">
        <w:rPr>
          <w:rFonts w:asciiTheme="minorHAnsi" w:hAnsiTheme="minorHAnsi"/>
          <w:color w:val="FF0000"/>
          <w:sz w:val="22"/>
        </w:rPr>
        <w:t>workform</w:t>
      </w:r>
      <w:proofErr w:type="spellEnd"/>
      <w:r w:rsidR="00FD13C9">
        <w:rPr>
          <w:rFonts w:asciiTheme="minorHAnsi" w:hAnsiTheme="minorHAnsi"/>
          <w:color w:val="FF0000"/>
          <w:sz w:val="22"/>
        </w:rPr>
        <w:t>.</w:t>
      </w:r>
    </w:p>
    <w:p w:rsidR="00032C8A" w:rsidRDefault="00032C8A" w:rsidP="00431139">
      <w:pPr>
        <w:pStyle w:val="NoSpacing"/>
        <w:rPr>
          <w:rFonts w:asciiTheme="minorHAnsi" w:hAnsiTheme="minorHAnsi"/>
          <w:color w:val="FF0000"/>
          <w:sz w:val="22"/>
        </w:rPr>
      </w:pPr>
    </w:p>
    <w:p w:rsidR="00044373" w:rsidRDefault="00044373" w:rsidP="00044373">
      <w:pPr>
        <w:pStyle w:val="NoSpacing"/>
        <w:rPr>
          <w:rFonts w:ascii="Arial" w:hAnsi="Arial" w:cs="Arial"/>
          <w:color w:val="FF0000"/>
        </w:rPr>
      </w:pPr>
    </w:p>
    <w:p w:rsidR="00594962" w:rsidRPr="00431139" w:rsidRDefault="00594962" w:rsidP="00044373">
      <w:pPr>
        <w:pStyle w:val="NoSpacing"/>
        <w:rPr>
          <w:rFonts w:ascii="Arial" w:hAnsi="Arial" w:cs="Arial"/>
          <w:color w:val="FF0000"/>
        </w:rPr>
      </w:pPr>
    </w:p>
    <w:p w:rsidR="00A532A1" w:rsidRDefault="00A532A1" w:rsidP="00044373">
      <w:pPr>
        <w:pStyle w:val="NoSpacing"/>
        <w:rPr>
          <w:rFonts w:ascii="Arial" w:hAnsi="Arial" w:cs="Arial"/>
          <w:b/>
        </w:rPr>
      </w:pPr>
    </w:p>
    <w:p w:rsidR="00044373" w:rsidRPr="00044373" w:rsidRDefault="00044373" w:rsidP="00044373">
      <w:pPr>
        <w:pStyle w:val="NoSpacing"/>
        <w:rPr>
          <w:rFonts w:ascii="Arial" w:hAnsi="Arial" w:cs="Arial"/>
          <w:b/>
        </w:rPr>
      </w:pPr>
      <w:r w:rsidRPr="00044373">
        <w:rPr>
          <w:rFonts w:ascii="Arial" w:hAnsi="Arial" w:cs="Arial"/>
          <w:b/>
        </w:rPr>
        <w:t>Staff Question - 5</w:t>
      </w:r>
    </w:p>
    <w:p w:rsidR="00044373" w:rsidRPr="00044373" w:rsidRDefault="00044373" w:rsidP="00044373">
      <w:pPr>
        <w:pStyle w:val="NoSpacing"/>
        <w:rPr>
          <w:rFonts w:ascii="Arial" w:hAnsi="Arial" w:cs="Arial"/>
          <w:b/>
        </w:rPr>
      </w:pPr>
    </w:p>
    <w:p w:rsidR="00044373" w:rsidRPr="00044373" w:rsidRDefault="00044373" w:rsidP="00044373">
      <w:pPr>
        <w:pStyle w:val="NoSpacing"/>
        <w:rPr>
          <w:rFonts w:ascii="Arial" w:hAnsi="Arial" w:cs="Arial"/>
          <w:b/>
        </w:rPr>
      </w:pPr>
      <w:r w:rsidRPr="00044373">
        <w:rPr>
          <w:rFonts w:ascii="Arial" w:hAnsi="Arial" w:cs="Arial"/>
          <w:b/>
        </w:rPr>
        <w:t>Ref:</w:t>
      </w:r>
      <w:r w:rsidRPr="00044373">
        <w:rPr>
          <w:rFonts w:ascii="Arial" w:hAnsi="Arial" w:cs="Arial"/>
          <w:b/>
        </w:rPr>
        <w:tab/>
        <w:t xml:space="preserve">Tab “5.  2015 LRAM” of LRAMVA Work Form </w:t>
      </w:r>
    </w:p>
    <w:p w:rsidR="00044373" w:rsidRDefault="00044373" w:rsidP="00044373">
      <w:pPr>
        <w:pStyle w:val="NoSpacing"/>
        <w:rPr>
          <w:rFonts w:ascii="Arial" w:hAnsi="Arial" w:cs="Arial"/>
        </w:rPr>
      </w:pPr>
    </w:p>
    <w:p w:rsidR="00044373" w:rsidRDefault="00044373" w:rsidP="00044373">
      <w:pPr>
        <w:pStyle w:val="NoSpacing"/>
        <w:rPr>
          <w:rFonts w:ascii="Arial" w:hAnsi="Arial" w:cs="Arial"/>
        </w:rPr>
      </w:pPr>
      <w:r>
        <w:rPr>
          <w:rFonts w:ascii="Arial" w:hAnsi="Arial" w:cs="Arial"/>
        </w:rPr>
        <w:t>Please discuss the nature of the Loblaw Pilot Program delivered and the rationale for claiming 12 months of demand savings from this pilot program in 2015.</w:t>
      </w:r>
    </w:p>
    <w:p w:rsidR="00A532A1" w:rsidRDefault="00A532A1" w:rsidP="00044373">
      <w:pPr>
        <w:pStyle w:val="NoSpacing"/>
        <w:rPr>
          <w:rFonts w:ascii="Arial" w:hAnsi="Arial" w:cs="Arial"/>
        </w:rPr>
      </w:pPr>
    </w:p>
    <w:p w:rsidR="00E504CF" w:rsidRDefault="00A532A1" w:rsidP="00044373">
      <w:pPr>
        <w:pStyle w:val="NoSpacing"/>
        <w:rPr>
          <w:rFonts w:asciiTheme="minorHAnsi" w:hAnsiTheme="minorHAnsi"/>
          <w:color w:val="FF0000"/>
          <w:sz w:val="22"/>
        </w:rPr>
      </w:pPr>
      <w:r w:rsidRPr="00594962">
        <w:rPr>
          <w:rFonts w:asciiTheme="minorHAnsi" w:hAnsiTheme="minorHAnsi"/>
          <w:color w:val="FF0000"/>
          <w:sz w:val="22"/>
        </w:rPr>
        <w:t xml:space="preserve">Bluewater Response:  The </w:t>
      </w:r>
      <w:proofErr w:type="spellStart"/>
      <w:r w:rsidRPr="00594962">
        <w:rPr>
          <w:rFonts w:asciiTheme="minorHAnsi" w:hAnsiTheme="minorHAnsi"/>
          <w:color w:val="FF0000"/>
          <w:sz w:val="22"/>
        </w:rPr>
        <w:t>Loblaws</w:t>
      </w:r>
      <w:proofErr w:type="spellEnd"/>
      <w:r w:rsidRPr="00594962">
        <w:rPr>
          <w:rFonts w:asciiTheme="minorHAnsi" w:hAnsiTheme="minorHAnsi"/>
          <w:color w:val="FF0000"/>
          <w:sz w:val="22"/>
        </w:rPr>
        <w:t xml:space="preserve"> store in Bluewater Power’s service territory was one of 18 stores across the province that participated in the ‘Results Based Performance Optimization Program’.  </w:t>
      </w:r>
      <w:proofErr w:type="spellStart"/>
      <w:r w:rsidRPr="00594962">
        <w:rPr>
          <w:rFonts w:asciiTheme="minorHAnsi" w:hAnsiTheme="minorHAnsi"/>
          <w:color w:val="FF0000"/>
          <w:sz w:val="22"/>
        </w:rPr>
        <w:t>Loblaws</w:t>
      </w:r>
      <w:proofErr w:type="spellEnd"/>
      <w:r w:rsidRPr="00594962">
        <w:rPr>
          <w:rFonts w:asciiTheme="minorHAnsi" w:hAnsiTheme="minorHAnsi"/>
          <w:color w:val="FF0000"/>
          <w:sz w:val="22"/>
        </w:rPr>
        <w:t xml:space="preserve"> received a financial incentive </w:t>
      </w:r>
      <w:r w:rsidR="00361CBB" w:rsidRPr="00594962">
        <w:rPr>
          <w:rFonts w:asciiTheme="minorHAnsi" w:hAnsiTheme="minorHAnsi"/>
          <w:color w:val="FF0000"/>
          <w:sz w:val="22"/>
        </w:rPr>
        <w:t xml:space="preserve">($/kWh) </w:t>
      </w:r>
      <w:r w:rsidRPr="00594962">
        <w:rPr>
          <w:rFonts w:asciiTheme="minorHAnsi" w:hAnsiTheme="minorHAnsi"/>
          <w:color w:val="FF0000"/>
          <w:sz w:val="22"/>
        </w:rPr>
        <w:t xml:space="preserve">for off-peak savings and </w:t>
      </w:r>
      <w:r w:rsidR="00E504CF">
        <w:rPr>
          <w:rFonts w:asciiTheme="minorHAnsi" w:hAnsiTheme="minorHAnsi"/>
          <w:color w:val="FF0000"/>
          <w:sz w:val="22"/>
        </w:rPr>
        <w:t xml:space="preserve">a </w:t>
      </w:r>
      <w:r w:rsidRPr="00594962">
        <w:rPr>
          <w:rFonts w:asciiTheme="minorHAnsi" w:hAnsiTheme="minorHAnsi"/>
          <w:color w:val="FF0000"/>
          <w:sz w:val="22"/>
        </w:rPr>
        <w:t>higher incentive for on-peak savings</w:t>
      </w:r>
      <w:r w:rsidR="00E504CF">
        <w:rPr>
          <w:rFonts w:asciiTheme="minorHAnsi" w:hAnsiTheme="minorHAnsi"/>
          <w:color w:val="FF0000"/>
          <w:sz w:val="22"/>
        </w:rPr>
        <w:t>.  In each case, the</w:t>
      </w:r>
      <w:r w:rsidRPr="00594962">
        <w:rPr>
          <w:rFonts w:asciiTheme="minorHAnsi" w:hAnsiTheme="minorHAnsi"/>
          <w:color w:val="FF0000"/>
          <w:sz w:val="22"/>
        </w:rPr>
        <w:t xml:space="preserve"> </w:t>
      </w:r>
      <w:r w:rsidR="00E504CF">
        <w:rPr>
          <w:rFonts w:asciiTheme="minorHAnsi" w:hAnsiTheme="minorHAnsi"/>
          <w:color w:val="FF0000"/>
          <w:sz w:val="22"/>
        </w:rPr>
        <w:t xml:space="preserve">savings were based on </w:t>
      </w:r>
      <w:r w:rsidRPr="00594962">
        <w:rPr>
          <w:rFonts w:asciiTheme="minorHAnsi" w:hAnsiTheme="minorHAnsi"/>
          <w:color w:val="FF0000"/>
          <w:sz w:val="22"/>
        </w:rPr>
        <w:t xml:space="preserve">energy conservation measures, where savings were calculated against a baseline prepared using electricity data from the previous year.  </w:t>
      </w:r>
    </w:p>
    <w:p w:rsidR="00E504CF" w:rsidRDefault="00E504CF" w:rsidP="00044373">
      <w:pPr>
        <w:pStyle w:val="NoSpacing"/>
        <w:rPr>
          <w:rFonts w:asciiTheme="minorHAnsi" w:hAnsiTheme="minorHAnsi"/>
          <w:color w:val="FF0000"/>
          <w:sz w:val="22"/>
        </w:rPr>
      </w:pPr>
    </w:p>
    <w:p w:rsidR="00A532A1" w:rsidRPr="00594962" w:rsidRDefault="00A532A1" w:rsidP="00044373">
      <w:pPr>
        <w:pStyle w:val="NoSpacing"/>
        <w:rPr>
          <w:rFonts w:asciiTheme="minorHAnsi" w:hAnsiTheme="minorHAnsi"/>
          <w:color w:val="FF0000"/>
          <w:sz w:val="22"/>
        </w:rPr>
      </w:pPr>
      <w:r w:rsidRPr="00594962">
        <w:rPr>
          <w:rFonts w:asciiTheme="minorHAnsi" w:hAnsiTheme="minorHAnsi"/>
          <w:color w:val="FF0000"/>
          <w:sz w:val="22"/>
        </w:rPr>
        <w:t>Given that this was an approved pilot program, and the IESO verified the results,</w:t>
      </w:r>
      <w:r w:rsidR="00E504CF">
        <w:rPr>
          <w:rFonts w:asciiTheme="minorHAnsi" w:hAnsiTheme="minorHAnsi"/>
          <w:color w:val="FF0000"/>
          <w:sz w:val="22"/>
        </w:rPr>
        <w:t xml:space="preserve"> </w:t>
      </w:r>
      <w:r w:rsidRPr="00594962">
        <w:rPr>
          <w:rFonts w:asciiTheme="minorHAnsi" w:hAnsiTheme="minorHAnsi"/>
          <w:color w:val="FF0000"/>
          <w:sz w:val="22"/>
        </w:rPr>
        <w:t xml:space="preserve">it should </w:t>
      </w:r>
      <w:r w:rsidR="00E504CF">
        <w:rPr>
          <w:rFonts w:asciiTheme="minorHAnsi" w:hAnsiTheme="minorHAnsi"/>
          <w:color w:val="FF0000"/>
          <w:sz w:val="22"/>
        </w:rPr>
        <w:t xml:space="preserve">follow that the savings </w:t>
      </w:r>
      <w:r w:rsidRPr="00594962">
        <w:rPr>
          <w:rFonts w:asciiTheme="minorHAnsi" w:hAnsiTheme="minorHAnsi"/>
          <w:color w:val="FF0000"/>
          <w:sz w:val="22"/>
        </w:rPr>
        <w:t xml:space="preserve">be included in the LRAMVA calculation for the full duration of the program.  </w:t>
      </w:r>
      <w:r w:rsidR="00E504CF">
        <w:rPr>
          <w:rFonts w:asciiTheme="minorHAnsi" w:hAnsiTheme="minorHAnsi"/>
          <w:color w:val="FF0000"/>
          <w:sz w:val="22"/>
        </w:rPr>
        <w:t>At the time, Bluewater was under an extension of the 2011-2014 Conservation programs wherein distributors did have targets for demand savings.</w:t>
      </w:r>
    </w:p>
    <w:p w:rsidR="00044373" w:rsidRPr="00594962" w:rsidRDefault="00044373" w:rsidP="00AD2BD5">
      <w:pPr>
        <w:rPr>
          <w:color w:val="FF0000"/>
        </w:rPr>
      </w:pPr>
    </w:p>
    <w:sectPr w:rsidR="00044373" w:rsidRPr="00594962"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E5"/>
    <w:multiLevelType w:val="hybridMultilevel"/>
    <w:tmpl w:val="B422FB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15"/>
    <w:rsid w:val="000128A2"/>
    <w:rsid w:val="00032C8A"/>
    <w:rsid w:val="00044373"/>
    <w:rsid w:val="000E20F1"/>
    <w:rsid w:val="00131F34"/>
    <w:rsid w:val="00350093"/>
    <w:rsid w:val="00361CBB"/>
    <w:rsid w:val="003D3F17"/>
    <w:rsid w:val="003E44F1"/>
    <w:rsid w:val="00412DC6"/>
    <w:rsid w:val="00431139"/>
    <w:rsid w:val="00594962"/>
    <w:rsid w:val="00642F90"/>
    <w:rsid w:val="00746080"/>
    <w:rsid w:val="0076591E"/>
    <w:rsid w:val="007C7A75"/>
    <w:rsid w:val="0096244A"/>
    <w:rsid w:val="00A532A1"/>
    <w:rsid w:val="00AA06D9"/>
    <w:rsid w:val="00AD2BD5"/>
    <w:rsid w:val="00B25576"/>
    <w:rsid w:val="00B26916"/>
    <w:rsid w:val="00B76415"/>
    <w:rsid w:val="00BD7C36"/>
    <w:rsid w:val="00C75F85"/>
    <w:rsid w:val="00CD3506"/>
    <w:rsid w:val="00CE11BB"/>
    <w:rsid w:val="00CF675A"/>
    <w:rsid w:val="00D1750E"/>
    <w:rsid w:val="00D272F7"/>
    <w:rsid w:val="00D836D3"/>
    <w:rsid w:val="00E43DF4"/>
    <w:rsid w:val="00E504CF"/>
    <w:rsid w:val="00EA0919"/>
    <w:rsid w:val="00FD1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41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6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5A"/>
    <w:rPr>
      <w:rFonts w:ascii="Tahoma" w:hAnsi="Tahoma" w:cs="Tahoma"/>
      <w:sz w:val="16"/>
      <w:szCs w:val="16"/>
    </w:rPr>
  </w:style>
  <w:style w:type="paragraph" w:styleId="NoSpacing">
    <w:name w:val="No Spacing"/>
    <w:uiPriority w:val="1"/>
    <w:qFormat/>
    <w:rsid w:val="00044373"/>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41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6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5A"/>
    <w:rPr>
      <w:rFonts w:ascii="Tahoma" w:hAnsi="Tahoma" w:cs="Tahoma"/>
      <w:sz w:val="16"/>
      <w:szCs w:val="16"/>
    </w:rPr>
  </w:style>
  <w:style w:type="paragraph" w:styleId="NoSpacing">
    <w:name w:val="No Spacing"/>
    <w:uiPriority w:val="1"/>
    <w:qFormat/>
    <w:rsid w:val="0004437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7778">
      <w:bodyDiv w:val="1"/>
      <w:marLeft w:val="0"/>
      <w:marRight w:val="0"/>
      <w:marTop w:val="0"/>
      <w:marBottom w:val="0"/>
      <w:divBdr>
        <w:top w:val="none" w:sz="0" w:space="0" w:color="auto"/>
        <w:left w:val="none" w:sz="0" w:space="0" w:color="auto"/>
        <w:bottom w:val="none" w:sz="0" w:space="0" w:color="auto"/>
        <w:right w:val="none" w:sz="0" w:space="0" w:color="auto"/>
      </w:divBdr>
    </w:div>
    <w:div w:id="1099373737">
      <w:bodyDiv w:val="1"/>
      <w:marLeft w:val="0"/>
      <w:marRight w:val="0"/>
      <w:marTop w:val="0"/>
      <w:marBottom w:val="0"/>
      <w:divBdr>
        <w:top w:val="none" w:sz="0" w:space="0" w:color="auto"/>
        <w:left w:val="none" w:sz="0" w:space="0" w:color="auto"/>
        <w:bottom w:val="none" w:sz="0" w:space="0" w:color="auto"/>
        <w:right w:val="none" w:sz="0" w:space="0" w:color="auto"/>
      </w:divBdr>
    </w:div>
    <w:div w:id="20899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Benincasa</dc:creator>
  <cp:lastModifiedBy>Leslie Dugas</cp:lastModifiedBy>
  <cp:revision>3</cp:revision>
  <cp:lastPrinted>2016-11-09T16:22:00Z</cp:lastPrinted>
  <dcterms:created xsi:type="dcterms:W3CDTF">2016-11-14T22:07:00Z</dcterms:created>
  <dcterms:modified xsi:type="dcterms:W3CDTF">2016-11-14T22:07:00Z</dcterms:modified>
</cp:coreProperties>
</file>